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05" w:rsidRPr="00681105" w:rsidRDefault="00681105" w:rsidP="00681105">
      <w:pPr>
        <w:jc w:val="center"/>
        <w:rPr>
          <w:rFonts w:cs="B Nazanin"/>
          <w:b/>
          <w:bCs/>
          <w:sz w:val="28"/>
          <w:szCs w:val="28"/>
          <w:rtl/>
        </w:rPr>
      </w:pPr>
      <w:r w:rsidRPr="00681105">
        <w:rPr>
          <w:rFonts w:cs="B Nazanin" w:hint="cs"/>
          <w:b/>
          <w:bCs/>
          <w:sz w:val="28"/>
          <w:szCs w:val="28"/>
          <w:rtl/>
        </w:rPr>
        <w:t>دستور العمل کار با جعبه خازن</w:t>
      </w:r>
    </w:p>
    <w:p w:rsidR="00681105" w:rsidRPr="00681105" w:rsidRDefault="00681105" w:rsidP="00681105">
      <w:pPr>
        <w:jc w:val="center"/>
        <w:rPr>
          <w:rFonts w:cs="B Nazanin"/>
          <w:b/>
          <w:bCs/>
          <w:sz w:val="28"/>
          <w:szCs w:val="28"/>
          <w:rtl/>
        </w:rPr>
      </w:pPr>
      <w:r w:rsidRPr="00681105">
        <w:rPr>
          <w:rFonts w:cs="B Nazanin" w:hint="cs"/>
          <w:b/>
          <w:bCs/>
          <w:sz w:val="28"/>
          <w:szCs w:val="28"/>
          <w:rtl/>
        </w:rPr>
        <w:t>نام درس/دروس:</w:t>
      </w:r>
    </w:p>
    <w:p w:rsidR="00681105" w:rsidRPr="00681105" w:rsidRDefault="00681105" w:rsidP="00681105">
      <w:pPr>
        <w:jc w:val="center"/>
        <w:rPr>
          <w:rFonts w:cs="B Nazanin"/>
          <w:b/>
          <w:bCs/>
          <w:sz w:val="28"/>
          <w:szCs w:val="28"/>
          <w:rtl/>
        </w:rPr>
      </w:pPr>
      <w:r w:rsidRPr="00681105">
        <w:rPr>
          <w:rFonts w:cs="B Nazanin" w:hint="cs"/>
          <w:b/>
          <w:bCs/>
          <w:sz w:val="28"/>
          <w:szCs w:val="28"/>
          <w:rtl/>
        </w:rPr>
        <w:t xml:space="preserve">ایمنی </w:t>
      </w:r>
      <w:r w:rsidR="00090296">
        <w:rPr>
          <w:rFonts w:cs="B Nazanin" w:hint="cs"/>
          <w:b/>
          <w:bCs/>
          <w:sz w:val="28"/>
          <w:szCs w:val="28"/>
          <w:rtl/>
        </w:rPr>
        <w:t>برق</w:t>
      </w:r>
    </w:p>
    <w:p w:rsidR="00681105" w:rsidRPr="00681105" w:rsidRDefault="00681105" w:rsidP="00681105">
      <w:pPr>
        <w:jc w:val="center"/>
        <w:rPr>
          <w:rFonts w:cs="B Nazanin"/>
          <w:b/>
          <w:bCs/>
          <w:sz w:val="28"/>
          <w:szCs w:val="28"/>
          <w:rtl/>
        </w:rPr>
      </w:pPr>
      <w:r w:rsidRPr="00681105">
        <w:rPr>
          <w:rFonts w:cs="B Nazanin" w:hint="cs"/>
          <w:b/>
          <w:bCs/>
          <w:sz w:val="28"/>
          <w:szCs w:val="28"/>
          <w:rtl/>
        </w:rPr>
        <w:t>کار آموزی2</w:t>
      </w:r>
    </w:p>
    <w:p w:rsidR="00681105" w:rsidRPr="00681105" w:rsidRDefault="00681105" w:rsidP="00681105">
      <w:pPr>
        <w:jc w:val="center"/>
        <w:rPr>
          <w:rFonts w:cs="B Nazanin"/>
          <w:b/>
          <w:bCs/>
          <w:sz w:val="28"/>
          <w:szCs w:val="28"/>
          <w:rtl/>
        </w:rPr>
      </w:pPr>
      <w:r w:rsidRPr="00681105">
        <w:rPr>
          <w:rFonts w:cs="B Nazanin" w:hint="cs"/>
          <w:b/>
          <w:bCs/>
          <w:sz w:val="28"/>
          <w:szCs w:val="28"/>
          <w:rtl/>
        </w:rPr>
        <w:t>آزمایشگاه /کار گاه:</w:t>
      </w:r>
    </w:p>
    <w:p w:rsidR="00681105" w:rsidRPr="00681105" w:rsidRDefault="00681105" w:rsidP="00681105">
      <w:pPr>
        <w:jc w:val="center"/>
        <w:rPr>
          <w:b/>
          <w:bCs/>
          <w:rtl/>
        </w:rPr>
      </w:pPr>
      <w:r w:rsidRPr="00681105">
        <w:rPr>
          <w:rFonts w:cs="B Nazanin" w:hint="cs"/>
          <w:b/>
          <w:bCs/>
          <w:sz w:val="28"/>
          <w:szCs w:val="28"/>
          <w:rtl/>
        </w:rPr>
        <w:t>مرکزآموزش مهارت های فنی ومهندسی</w:t>
      </w:r>
    </w:p>
    <w:p w:rsidR="00681105" w:rsidRPr="00090296" w:rsidRDefault="00681105" w:rsidP="00090296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90296">
        <w:rPr>
          <w:rFonts w:cs="B Nazanin" w:hint="cs"/>
          <w:color w:val="5B9BD5" w:themeColor="accent1"/>
          <w:sz w:val="28"/>
          <w:szCs w:val="28"/>
          <w:rtl/>
        </w:rPr>
        <w:t>1</w:t>
      </w:r>
      <w:r w:rsidRPr="00090296">
        <w:rPr>
          <w:rFonts w:cs="B Nazanin" w:hint="cs"/>
          <w:b/>
          <w:bCs/>
          <w:color w:val="5B9BD5" w:themeColor="accent1"/>
          <w:sz w:val="28"/>
          <w:szCs w:val="28"/>
          <w:rtl/>
        </w:rPr>
        <w:t>-هدف:</w:t>
      </w:r>
    </w:p>
    <w:p w:rsidR="00681105" w:rsidRPr="00090296" w:rsidRDefault="00681105" w:rsidP="00090296">
      <w:pPr>
        <w:jc w:val="right"/>
        <w:rPr>
          <w:rFonts w:cs="B Nazanin"/>
          <w:b/>
          <w:bCs/>
          <w:sz w:val="28"/>
          <w:szCs w:val="28"/>
          <w:rtl/>
        </w:rPr>
      </w:pPr>
      <w:r w:rsidRPr="00090296">
        <w:rPr>
          <w:rFonts w:cs="B Nazanin" w:hint="cs"/>
          <w:b/>
          <w:bCs/>
          <w:sz w:val="28"/>
          <w:szCs w:val="28"/>
          <w:rtl/>
        </w:rPr>
        <w:t xml:space="preserve">تشریح نحوه کار وآیین کار ایمن با </w:t>
      </w:r>
      <w:r w:rsidR="00090296">
        <w:rPr>
          <w:rFonts w:cs="B Nazanin" w:hint="cs"/>
          <w:b/>
          <w:bCs/>
          <w:sz w:val="28"/>
          <w:szCs w:val="28"/>
          <w:rtl/>
        </w:rPr>
        <w:t>جعبه خازن</w:t>
      </w:r>
    </w:p>
    <w:p w:rsidR="00681105" w:rsidRPr="00090296" w:rsidRDefault="00681105" w:rsidP="00090296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90296">
        <w:rPr>
          <w:rFonts w:cs="B Nazanin" w:hint="cs"/>
          <w:b/>
          <w:bCs/>
          <w:color w:val="5B9BD5" w:themeColor="accent1"/>
          <w:sz w:val="28"/>
          <w:szCs w:val="28"/>
          <w:rtl/>
        </w:rPr>
        <w:t>2-دامنه کاربرد:</w:t>
      </w:r>
    </w:p>
    <w:p w:rsidR="00681105" w:rsidRPr="00090296" w:rsidRDefault="00681105" w:rsidP="00090296">
      <w:pPr>
        <w:jc w:val="right"/>
        <w:rPr>
          <w:rFonts w:cs="B Nazanin"/>
          <w:b/>
          <w:bCs/>
          <w:sz w:val="28"/>
          <w:szCs w:val="28"/>
          <w:rtl/>
        </w:rPr>
      </w:pPr>
      <w:r w:rsidRPr="00090296">
        <w:rPr>
          <w:rFonts w:cs="B Nazanin" w:hint="cs"/>
          <w:b/>
          <w:bCs/>
          <w:sz w:val="28"/>
          <w:szCs w:val="28"/>
          <w:rtl/>
        </w:rPr>
        <w:t>دانشجویان ترم سوم وهشتم کارشناسی رشته مهندسی رشته بهداشت حرفه ای وایمنی کار</w:t>
      </w:r>
    </w:p>
    <w:p w:rsidR="00681105" w:rsidRPr="00090296" w:rsidRDefault="00681105" w:rsidP="00090296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90296">
        <w:rPr>
          <w:rFonts w:cs="B Nazanin" w:hint="cs"/>
          <w:b/>
          <w:bCs/>
          <w:color w:val="5B9BD5" w:themeColor="accent1"/>
          <w:sz w:val="28"/>
          <w:szCs w:val="28"/>
          <w:rtl/>
        </w:rPr>
        <w:t>3-مسئولیت:</w:t>
      </w:r>
    </w:p>
    <w:p w:rsidR="00681105" w:rsidRPr="00090296" w:rsidRDefault="00681105" w:rsidP="00090296">
      <w:pPr>
        <w:jc w:val="right"/>
        <w:rPr>
          <w:rFonts w:cs="B Nazanin"/>
          <w:b/>
          <w:bCs/>
          <w:sz w:val="28"/>
          <w:szCs w:val="28"/>
          <w:rtl/>
        </w:rPr>
      </w:pPr>
      <w:r w:rsidRPr="00090296">
        <w:rPr>
          <w:rFonts w:cs="B Nazanin" w:hint="cs"/>
          <w:b/>
          <w:bCs/>
          <w:sz w:val="28"/>
          <w:szCs w:val="28"/>
          <w:rtl/>
        </w:rPr>
        <w:t>1-کلیه دانشجویان دوره کارشناسی رشته بهداشت حرفه ای مسئولیت اجرای این دستورالعمل رابه عهده دارند.</w:t>
      </w:r>
    </w:p>
    <w:p w:rsidR="00681105" w:rsidRPr="00090296" w:rsidRDefault="00681105" w:rsidP="00090296">
      <w:pPr>
        <w:jc w:val="right"/>
        <w:rPr>
          <w:rFonts w:cs="B Nazanin"/>
          <w:b/>
          <w:bCs/>
          <w:sz w:val="28"/>
          <w:szCs w:val="28"/>
          <w:rtl/>
        </w:rPr>
      </w:pPr>
      <w:r w:rsidRPr="00090296">
        <w:rPr>
          <w:rFonts w:cs="B Nazanin" w:hint="cs"/>
          <w:b/>
          <w:bCs/>
          <w:sz w:val="28"/>
          <w:szCs w:val="28"/>
          <w:rtl/>
        </w:rPr>
        <w:t>2-اساتید راهنما ومسئول درس مسئولیت نظارت بر حسن اجرای مغاد این دستورالعمل را به عهده دارند.</w:t>
      </w:r>
    </w:p>
    <w:p w:rsidR="00681105" w:rsidRPr="00090296" w:rsidRDefault="00681105" w:rsidP="00090296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90296">
        <w:rPr>
          <w:rFonts w:cs="B Nazanin" w:hint="cs"/>
          <w:b/>
          <w:bCs/>
          <w:color w:val="5B9BD5" w:themeColor="accent1"/>
          <w:sz w:val="28"/>
          <w:szCs w:val="28"/>
          <w:rtl/>
        </w:rPr>
        <w:t xml:space="preserve">4-تعاریف </w:t>
      </w:r>
    </w:p>
    <w:p w:rsidR="00681105" w:rsidRPr="00090296" w:rsidRDefault="00681105" w:rsidP="00090296">
      <w:pPr>
        <w:jc w:val="right"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90296">
        <w:rPr>
          <w:rFonts w:cs="B Nazanin" w:hint="cs"/>
          <w:b/>
          <w:bCs/>
          <w:color w:val="5B9BD5" w:themeColor="accent1"/>
          <w:sz w:val="28"/>
          <w:szCs w:val="28"/>
          <w:rtl/>
        </w:rPr>
        <w:t>5-شرح دستورالعمل</w:t>
      </w:r>
    </w:p>
    <w:p w:rsidR="0031774D" w:rsidRDefault="0031774D" w:rsidP="00681105">
      <w:pPr>
        <w:jc w:val="center"/>
        <w:rPr>
          <w:rtl/>
        </w:rPr>
      </w:pPr>
    </w:p>
    <w:p w:rsidR="00090296" w:rsidRDefault="00090296" w:rsidP="00681105">
      <w:pPr>
        <w:jc w:val="center"/>
        <w:rPr>
          <w:rtl/>
        </w:rPr>
      </w:pPr>
    </w:p>
    <w:p w:rsidR="00090296" w:rsidRDefault="00090296" w:rsidP="00681105">
      <w:pPr>
        <w:jc w:val="center"/>
        <w:rPr>
          <w:rtl/>
        </w:rPr>
      </w:pPr>
    </w:p>
    <w:p w:rsidR="00FD23D8" w:rsidRPr="00FD23D8" w:rsidRDefault="00090296" w:rsidP="00FD23D8">
      <w:pPr>
        <w:bidi/>
        <w:rPr>
          <w:rFonts w:cs="B Nazanin"/>
          <w:b/>
          <w:bCs/>
          <w:color w:val="5B9BD5" w:themeColor="accent1"/>
          <w:sz w:val="28"/>
          <w:szCs w:val="28"/>
          <w:rtl/>
        </w:rPr>
      </w:pPr>
      <w:r w:rsidRPr="00090296">
        <w:rPr>
          <w:rFonts w:cs="B Nazanin" w:hint="cs"/>
          <w:b/>
          <w:bCs/>
          <w:color w:val="5B9BD5" w:themeColor="accent1"/>
          <w:sz w:val="28"/>
          <w:szCs w:val="28"/>
          <w:rtl/>
        </w:rPr>
        <w:lastRenderedPageBreak/>
        <w:t>دستورالعمل وآیین کار ایمن با جعبه خازن</w:t>
      </w:r>
      <w:bookmarkStart w:id="0" w:name="_GoBack"/>
      <w:bookmarkEnd w:id="0"/>
    </w:p>
    <w:p w:rsidR="00FD23D8" w:rsidRPr="003E3F90" w:rsidRDefault="00FD23D8" w:rsidP="00FD23D8">
      <w:pPr>
        <w:bidi/>
        <w:rPr>
          <w:rFonts w:cs="B Nazanin"/>
          <w:color w:val="000000" w:themeColor="text1"/>
          <w:sz w:val="24"/>
          <w:szCs w:val="24"/>
        </w:rPr>
      </w:pPr>
      <w:r w:rsidRPr="003E3F90">
        <w:rPr>
          <w:rFonts w:cs="B Nazanin"/>
          <w:color w:val="000000" w:themeColor="text1"/>
          <w:sz w:val="24"/>
          <w:szCs w:val="24"/>
          <w:rtl/>
        </w:rPr>
        <w:t>دستگاهی است که</w:t>
      </w:r>
      <w:r w:rsidRPr="003E3F90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توجه به استفاده سریع و آسان و محدوده وسیع کاری می تواند بهترین گزینه برای آزمایشگاه های دانشگاه ها و همچنین درمشاغل گوناگون دیگر کاربرد داشته باشد.</w:t>
      </w:r>
      <w:r w:rsidRPr="003E3F90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جعبه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تست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خازن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برای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قطعیت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تایید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روند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تست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گیری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دستگاه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های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کمیت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سنج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متفاوت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قبل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اقدام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اندازه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گیری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شود. وظیفه خازن نگهداری انرژی الکتریکی است که به همراه مقاومت ،در مدارهای</w:t>
      </w:r>
      <w:r w:rsidRPr="003E3F90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تایمینگ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رها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سازی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شود</w:t>
      </w:r>
      <w:r w:rsidRPr="003E3F90">
        <w:rPr>
          <w:rFonts w:cs="B Nazanin"/>
          <w:color w:val="000000" w:themeColor="text1"/>
          <w:sz w:val="24"/>
          <w:szCs w:val="24"/>
        </w:rPr>
        <w:t>.</w:t>
      </w:r>
    </w:p>
    <w:p w:rsidR="00FD23D8" w:rsidRPr="003E3F90" w:rsidRDefault="00FD23D8" w:rsidP="00FD23D8">
      <w:pPr>
        <w:bidi/>
        <w:rPr>
          <w:rFonts w:cs="B Nazanin"/>
          <w:color w:val="000000" w:themeColor="text1"/>
          <w:sz w:val="24"/>
          <w:szCs w:val="24"/>
        </w:rPr>
      </w:pPr>
      <w:r w:rsidRPr="003E3F90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دامنه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اندازه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گیری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جعبه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خازن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از 100 پیکو فاراد تا 111,11 میکرو فاراد با بکارگیری 100 پیکو فاراد در هر مرحله است.دقت اندازه گیری آن در تمام مراحل بین 5%- تا 5%+ است.عملکردآن </w:t>
      </w:r>
      <w:r w:rsidRPr="003E3F90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مقادیر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کمتر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از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1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میکرو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فاراد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1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کیلو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هرتزو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مقادیر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کمتر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یا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مساوی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1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کیگرو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فاراد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100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هرتز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تست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فرکانس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انجام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شده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است</w:t>
      </w:r>
      <w:r w:rsidRPr="003E3F90">
        <w:rPr>
          <w:rFonts w:cs="B Nazanin"/>
          <w:color w:val="000000" w:themeColor="text1"/>
          <w:sz w:val="24"/>
          <w:szCs w:val="24"/>
          <w:rtl/>
        </w:rPr>
        <w:t>.</w:t>
      </w:r>
      <w:r w:rsidRPr="003E3F90">
        <w:rPr>
          <w:rFonts w:cs="B Nazanin"/>
          <w:color w:val="000000" w:themeColor="text1"/>
          <w:sz w:val="24"/>
          <w:szCs w:val="24"/>
          <w:rtl/>
        </w:rPr>
        <w:br/>
      </w:r>
      <w:r w:rsidRPr="003E3F90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•  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محدودیت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استفاده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دستگاه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خ</w:t>
      </w:r>
      <w:r w:rsidRPr="003E3F90">
        <w:rPr>
          <w:rFonts w:cs="B Nazanin"/>
          <w:color w:val="000000" w:themeColor="text1"/>
          <w:sz w:val="24"/>
          <w:szCs w:val="24"/>
          <w:rtl/>
        </w:rPr>
        <w:t>ازنهای غیر قطبی تا 50 ولت است.</w:t>
      </w:r>
      <w:r w:rsidRPr="003E3F90">
        <w:rPr>
          <w:rFonts w:cs="B Nazanin"/>
          <w:color w:val="000000" w:themeColor="text1"/>
          <w:sz w:val="24"/>
          <w:szCs w:val="24"/>
          <w:rtl/>
        </w:rPr>
        <w:br/>
      </w:r>
      <w:r w:rsidRPr="003E3F90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•  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باقیمانده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ظرفیت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داخلی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خازن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معادل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50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پیکو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فاراد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است</w:t>
      </w:r>
      <w:r w:rsidRPr="003E3F90">
        <w:rPr>
          <w:rFonts w:cs="B Nazanin"/>
          <w:color w:val="000000" w:themeColor="text1"/>
          <w:sz w:val="24"/>
          <w:szCs w:val="24"/>
          <w:rtl/>
        </w:rPr>
        <w:t>.</w:t>
      </w:r>
    </w:p>
    <w:p w:rsidR="00FD23D8" w:rsidRPr="003E3F90" w:rsidRDefault="00FD23D8" w:rsidP="00FD23D8">
      <w:pPr>
        <w:bidi/>
        <w:rPr>
          <w:rFonts w:cs="B Nazanin"/>
          <w:color w:val="000000" w:themeColor="text1"/>
          <w:sz w:val="24"/>
          <w:szCs w:val="24"/>
        </w:rPr>
      </w:pPr>
      <w:r w:rsidRPr="003E3F90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•  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منبع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تامین</w:t>
      </w:r>
      <w:r w:rsidRPr="003E3F90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3E3F90">
        <w:rPr>
          <w:rFonts w:cs="B Nazanin" w:hint="cs"/>
          <w:color w:val="000000" w:themeColor="text1"/>
          <w:sz w:val="24"/>
          <w:szCs w:val="24"/>
          <w:rtl/>
        </w:rPr>
        <w:t>انرژ</w:t>
      </w:r>
      <w:r w:rsidRPr="003E3F90">
        <w:rPr>
          <w:rFonts w:cs="B Nazanin"/>
          <w:color w:val="000000" w:themeColor="text1"/>
          <w:sz w:val="24"/>
          <w:szCs w:val="24"/>
          <w:rtl/>
        </w:rPr>
        <w:t>ی ندارد.</w:t>
      </w:r>
    </w:p>
    <w:p w:rsidR="00FD23D8" w:rsidRPr="00FD23D8" w:rsidRDefault="00FD23D8" w:rsidP="00FD23D8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sectPr w:rsidR="00FD23D8" w:rsidRPr="00FD23D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56" w:rsidRDefault="006A0756" w:rsidP="0067387C">
      <w:pPr>
        <w:spacing w:after="0" w:line="240" w:lineRule="auto"/>
      </w:pPr>
      <w:r>
        <w:separator/>
      </w:r>
    </w:p>
  </w:endnote>
  <w:endnote w:type="continuationSeparator" w:id="0">
    <w:p w:rsidR="006A0756" w:rsidRDefault="006A0756" w:rsidP="0067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3116"/>
      <w:gridCol w:w="3683"/>
      <w:gridCol w:w="2835"/>
    </w:tblGrid>
    <w:tr w:rsidR="00681105" w:rsidTr="00681105">
      <w:tc>
        <w:tcPr>
          <w:tcW w:w="3116" w:type="dxa"/>
        </w:tcPr>
        <w:p w:rsidR="00681105" w:rsidRPr="00681105" w:rsidRDefault="00681105" w:rsidP="00681105">
          <w:pPr>
            <w:pStyle w:val="Footer"/>
            <w:jc w:val="right"/>
            <w:rPr>
              <w:b/>
              <w:bCs/>
              <w:color w:val="5B9BD5" w:themeColor="accent1"/>
              <w:sz w:val="24"/>
              <w:szCs w:val="24"/>
              <w:rtl/>
            </w:rPr>
          </w:pPr>
          <w:r w:rsidRPr="00681105"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  <w:t>تصویب کننده:</w:t>
          </w:r>
        </w:p>
        <w:p w:rsidR="00681105" w:rsidRPr="00681105" w:rsidRDefault="00681105" w:rsidP="00681105">
          <w:pPr>
            <w:pStyle w:val="Footer"/>
            <w:jc w:val="right"/>
            <w:rPr>
              <w:b/>
              <w:bCs/>
              <w:color w:val="5B9BD5" w:themeColor="accent1"/>
              <w:sz w:val="24"/>
              <w:szCs w:val="24"/>
            </w:rPr>
          </w:pPr>
          <w:r w:rsidRPr="00681105"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  <w:t>مدیرگروه مهندسی بهداشت حرفه ای وایمنی کار</w:t>
          </w:r>
        </w:p>
      </w:tc>
      <w:tc>
        <w:tcPr>
          <w:tcW w:w="3683" w:type="dxa"/>
        </w:tcPr>
        <w:p w:rsidR="00681105" w:rsidRPr="00681105" w:rsidRDefault="00681105" w:rsidP="00681105">
          <w:pPr>
            <w:pStyle w:val="Footer"/>
            <w:jc w:val="right"/>
            <w:rPr>
              <w:b/>
              <w:bCs/>
              <w:color w:val="5B9BD5" w:themeColor="accent1"/>
              <w:sz w:val="24"/>
              <w:szCs w:val="24"/>
              <w:rtl/>
            </w:rPr>
          </w:pPr>
          <w:r w:rsidRPr="00681105"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  <w:t>تایید کننده:</w:t>
          </w:r>
        </w:p>
        <w:p w:rsidR="00681105" w:rsidRPr="00681105" w:rsidRDefault="00681105" w:rsidP="00681105">
          <w:pPr>
            <w:pStyle w:val="Footer"/>
            <w:jc w:val="right"/>
            <w:rPr>
              <w:b/>
              <w:bCs/>
              <w:color w:val="5B9BD5" w:themeColor="accent1"/>
              <w:sz w:val="24"/>
              <w:szCs w:val="24"/>
            </w:rPr>
          </w:pPr>
          <w:r w:rsidRPr="00681105">
            <w:rPr>
              <w:rFonts w:hint="cs"/>
              <w:b/>
              <w:bCs/>
              <w:color w:val="5B9BD5" w:themeColor="accent1"/>
              <w:sz w:val="24"/>
              <w:szCs w:val="24"/>
              <w:rtl/>
            </w:rPr>
            <w:t>استاددرس گروه مهندسی بهداشت حرفه ای وایمنی کار</w:t>
          </w:r>
        </w:p>
      </w:tc>
      <w:tc>
        <w:tcPr>
          <w:tcW w:w="2835" w:type="dxa"/>
        </w:tcPr>
        <w:p w:rsidR="00681105" w:rsidRPr="00681105" w:rsidRDefault="00681105" w:rsidP="00681105">
          <w:pPr>
            <w:pStyle w:val="Footer"/>
            <w:jc w:val="right"/>
            <w:rPr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681105">
            <w:rPr>
              <w:rFonts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تهیه کننده:</w:t>
          </w:r>
        </w:p>
        <w:p w:rsidR="00681105" w:rsidRPr="00681105" w:rsidRDefault="00681105" w:rsidP="00681105">
          <w:pPr>
            <w:pStyle w:val="Footer"/>
            <w:jc w:val="right"/>
            <w:rPr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681105">
            <w:rPr>
              <w:rFonts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کارشناس گروه بهداشت حرفه ای وایمنی کار</w:t>
          </w:r>
        </w:p>
      </w:tc>
    </w:tr>
  </w:tbl>
  <w:p w:rsidR="0067387C" w:rsidRDefault="00673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56" w:rsidRDefault="006A0756" w:rsidP="0067387C">
      <w:pPr>
        <w:spacing w:after="0" w:line="240" w:lineRule="auto"/>
      </w:pPr>
      <w:r>
        <w:separator/>
      </w:r>
    </w:p>
  </w:footnote>
  <w:footnote w:type="continuationSeparator" w:id="0">
    <w:p w:rsidR="006A0756" w:rsidRDefault="006A0756" w:rsidP="0067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3"/>
      <w:gridCol w:w="4820"/>
      <w:gridCol w:w="2267"/>
    </w:tblGrid>
    <w:tr w:rsidR="0067387C" w:rsidTr="00681105">
      <w:trPr>
        <w:trHeight w:val="345"/>
      </w:trPr>
      <w:tc>
        <w:tcPr>
          <w:tcW w:w="2263" w:type="dxa"/>
        </w:tcPr>
        <w:p w:rsidR="0067387C" w:rsidRPr="00681105" w:rsidRDefault="0067387C" w:rsidP="0067387C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681105">
            <w:rPr>
              <w:rFonts w:cs="B Nazanin" w:hint="cs"/>
              <w:color w:val="5B9BD5" w:themeColor="accent1"/>
              <w:rtl/>
            </w:rPr>
            <w:t>تاریخ بازنگری:</w:t>
          </w:r>
        </w:p>
      </w:tc>
      <w:tc>
        <w:tcPr>
          <w:tcW w:w="4820" w:type="dxa"/>
          <w:vMerge w:val="restart"/>
        </w:tcPr>
        <w:p w:rsidR="0067387C" w:rsidRPr="00681105" w:rsidRDefault="0067387C" w:rsidP="0067387C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  <w:rtl/>
              <w:lang w:bidi="fa-IR"/>
            </w:rPr>
          </w:pPr>
          <w:r w:rsidRPr="0068110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  <w:lang w:bidi="fa-IR"/>
            </w:rPr>
            <w:t>گروه مهندسی بهداشت حرفه ای وایمنی کار</w:t>
          </w:r>
        </w:p>
      </w:tc>
      <w:tc>
        <w:tcPr>
          <w:tcW w:w="2267" w:type="dxa"/>
          <w:vMerge w:val="restart"/>
        </w:tcPr>
        <w:p w:rsidR="0067387C" w:rsidRDefault="0067387C">
          <w:pPr>
            <w:pStyle w:val="Header"/>
          </w:pPr>
          <w:r w:rsidRPr="0067387C">
            <w:rPr>
              <w:noProof/>
            </w:rPr>
            <w:drawing>
              <wp:inline distT="0" distB="0" distL="0" distR="0" wp14:anchorId="53140EA4" wp14:editId="438295B3">
                <wp:extent cx="1247775" cy="695325"/>
                <wp:effectExtent l="0" t="0" r="9525" b="9525"/>
                <wp:docPr id="1" name="Picture 1" descr="C:\Users\aftabsavar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ftabsavar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387C" w:rsidTr="00681105">
      <w:trPr>
        <w:trHeight w:val="269"/>
      </w:trPr>
      <w:tc>
        <w:tcPr>
          <w:tcW w:w="2263" w:type="dxa"/>
          <w:vMerge w:val="restart"/>
        </w:tcPr>
        <w:p w:rsidR="0067387C" w:rsidRPr="00681105" w:rsidRDefault="0067387C" w:rsidP="0067387C">
          <w:pPr>
            <w:pStyle w:val="Header"/>
            <w:bidi/>
            <w:rPr>
              <w:rFonts w:cs="B Nazanin"/>
              <w:color w:val="5B9BD5" w:themeColor="accent1"/>
            </w:rPr>
          </w:pPr>
          <w:r w:rsidRPr="00681105">
            <w:rPr>
              <w:rFonts w:cs="B Nazanin" w:hint="cs"/>
              <w:color w:val="5B9BD5" w:themeColor="accent1"/>
              <w:rtl/>
            </w:rPr>
            <w:t>شماره سند:</w:t>
          </w:r>
          <w:r w:rsidR="00681105" w:rsidRPr="00681105">
            <w:rPr>
              <w:rFonts w:cs="B Nazanin"/>
              <w:color w:val="5B9BD5" w:themeColor="accent1"/>
              <w:sz w:val="16"/>
              <w:szCs w:val="16"/>
            </w:rPr>
            <w:t>OH&amp;S-B-POO1-O2</w:t>
          </w:r>
        </w:p>
      </w:tc>
      <w:tc>
        <w:tcPr>
          <w:tcW w:w="4820" w:type="dxa"/>
          <w:vMerge/>
        </w:tcPr>
        <w:p w:rsidR="0067387C" w:rsidRPr="00681105" w:rsidRDefault="0067387C" w:rsidP="0067387C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</w:p>
      </w:tc>
      <w:tc>
        <w:tcPr>
          <w:tcW w:w="2267" w:type="dxa"/>
          <w:vMerge/>
        </w:tcPr>
        <w:p w:rsidR="0067387C" w:rsidRPr="0067387C" w:rsidRDefault="0067387C">
          <w:pPr>
            <w:pStyle w:val="Header"/>
            <w:rPr>
              <w:noProof/>
            </w:rPr>
          </w:pPr>
        </w:p>
      </w:tc>
    </w:tr>
    <w:tr w:rsidR="0067387C" w:rsidTr="00681105">
      <w:trPr>
        <w:trHeight w:val="269"/>
      </w:trPr>
      <w:tc>
        <w:tcPr>
          <w:tcW w:w="2263" w:type="dxa"/>
          <w:vMerge/>
        </w:tcPr>
        <w:p w:rsidR="0067387C" w:rsidRPr="00681105" w:rsidRDefault="0067387C" w:rsidP="0067387C">
          <w:pPr>
            <w:pStyle w:val="Header"/>
            <w:jc w:val="right"/>
            <w:rPr>
              <w:rFonts w:cs="B Nazanin"/>
              <w:color w:val="5B9BD5" w:themeColor="accent1"/>
            </w:rPr>
          </w:pPr>
        </w:p>
      </w:tc>
      <w:tc>
        <w:tcPr>
          <w:tcW w:w="4820" w:type="dxa"/>
          <w:vMerge w:val="restart"/>
        </w:tcPr>
        <w:p w:rsidR="0067387C" w:rsidRPr="00681105" w:rsidRDefault="0067387C" w:rsidP="0067387C">
          <w:pPr>
            <w:pStyle w:val="Header"/>
            <w:jc w:val="center"/>
            <w:rPr>
              <w:rFonts w:cs="B Nazanin"/>
              <w:b/>
              <w:bCs/>
              <w:color w:val="5B9BD5" w:themeColor="accent1"/>
              <w:sz w:val="24"/>
              <w:szCs w:val="24"/>
            </w:rPr>
          </w:pPr>
          <w:r w:rsidRPr="00681105">
            <w:rPr>
              <w:rFonts w:cs="B Nazanin" w:hint="cs"/>
              <w:b/>
              <w:bCs/>
              <w:color w:val="5B9BD5" w:themeColor="accent1"/>
              <w:sz w:val="24"/>
              <w:szCs w:val="24"/>
              <w:rtl/>
            </w:rPr>
            <w:t>دستورالعمل کار با جعبه خازن</w:t>
          </w:r>
        </w:p>
      </w:tc>
      <w:tc>
        <w:tcPr>
          <w:tcW w:w="2267" w:type="dxa"/>
          <w:vMerge/>
        </w:tcPr>
        <w:p w:rsidR="0067387C" w:rsidRPr="0067387C" w:rsidRDefault="0067387C">
          <w:pPr>
            <w:pStyle w:val="Header"/>
            <w:rPr>
              <w:noProof/>
            </w:rPr>
          </w:pPr>
        </w:p>
      </w:tc>
    </w:tr>
    <w:tr w:rsidR="0067387C" w:rsidTr="00681105">
      <w:trPr>
        <w:trHeight w:val="375"/>
      </w:trPr>
      <w:tc>
        <w:tcPr>
          <w:tcW w:w="2263" w:type="dxa"/>
        </w:tcPr>
        <w:p w:rsidR="0067387C" w:rsidRPr="00681105" w:rsidRDefault="0067387C" w:rsidP="0067387C">
          <w:pPr>
            <w:pStyle w:val="Header"/>
            <w:jc w:val="right"/>
            <w:rPr>
              <w:rFonts w:cs="B Nazanin"/>
              <w:color w:val="5B9BD5" w:themeColor="accent1"/>
            </w:rPr>
          </w:pPr>
          <w:r w:rsidRPr="00681105">
            <w:rPr>
              <w:rFonts w:cs="B Nazanin" w:hint="cs"/>
              <w:color w:val="5B9BD5" w:themeColor="accent1"/>
              <w:rtl/>
            </w:rPr>
            <w:t>شماره صفحه:</w:t>
          </w:r>
          <w:r w:rsidR="003E3F90">
            <w:rPr>
              <w:rFonts w:cs="B Nazanin" w:hint="cs"/>
              <w:color w:val="5B9BD5" w:themeColor="accent1"/>
              <w:rtl/>
            </w:rPr>
            <w:t>1ا</w:t>
          </w:r>
          <w:r w:rsidR="003E3F90">
            <w:rPr>
              <w:rFonts w:cs="B Nazanin"/>
              <w:color w:val="5B9BD5" w:themeColor="accent1"/>
            </w:rPr>
            <w:t>2</w:t>
          </w:r>
          <w:r w:rsidR="00090296">
            <w:rPr>
              <w:rFonts w:cs="B Nazanin" w:hint="cs"/>
              <w:color w:val="5B9BD5" w:themeColor="accent1"/>
              <w:rtl/>
            </w:rPr>
            <w:t>9</w:t>
          </w:r>
        </w:p>
      </w:tc>
      <w:tc>
        <w:tcPr>
          <w:tcW w:w="4820" w:type="dxa"/>
          <w:vMerge/>
        </w:tcPr>
        <w:p w:rsidR="0067387C" w:rsidRPr="00681105" w:rsidRDefault="0067387C">
          <w:pPr>
            <w:pStyle w:val="Header"/>
            <w:rPr>
              <w:color w:val="5B9BD5" w:themeColor="accent1"/>
            </w:rPr>
          </w:pPr>
        </w:p>
      </w:tc>
      <w:tc>
        <w:tcPr>
          <w:tcW w:w="2267" w:type="dxa"/>
          <w:vMerge/>
        </w:tcPr>
        <w:p w:rsidR="0067387C" w:rsidRPr="0067387C" w:rsidRDefault="0067387C">
          <w:pPr>
            <w:pStyle w:val="Header"/>
            <w:rPr>
              <w:noProof/>
            </w:rPr>
          </w:pPr>
        </w:p>
      </w:tc>
    </w:tr>
  </w:tbl>
  <w:p w:rsidR="0067387C" w:rsidRDefault="00673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BA5"/>
    <w:multiLevelType w:val="multilevel"/>
    <w:tmpl w:val="1922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3239F"/>
    <w:multiLevelType w:val="multilevel"/>
    <w:tmpl w:val="A7C4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37DEE"/>
    <w:multiLevelType w:val="multilevel"/>
    <w:tmpl w:val="BC86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85CAA"/>
    <w:multiLevelType w:val="multilevel"/>
    <w:tmpl w:val="4DC8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7C"/>
    <w:rsid w:val="00090296"/>
    <w:rsid w:val="001D38D6"/>
    <w:rsid w:val="0031774D"/>
    <w:rsid w:val="003E3F90"/>
    <w:rsid w:val="00641E4E"/>
    <w:rsid w:val="0067387C"/>
    <w:rsid w:val="00681105"/>
    <w:rsid w:val="006A0756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B88C7"/>
  <w15:chartTrackingRefBased/>
  <w15:docId w15:val="{226448E1-1F6D-455C-AB5C-293FC14D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7C"/>
  </w:style>
  <w:style w:type="paragraph" w:styleId="Footer">
    <w:name w:val="footer"/>
    <w:basedOn w:val="Normal"/>
    <w:link w:val="FooterChar"/>
    <w:uiPriority w:val="99"/>
    <w:unhideWhenUsed/>
    <w:rsid w:val="00673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7C"/>
  </w:style>
  <w:style w:type="table" w:styleId="TableGrid">
    <w:name w:val="Table Grid"/>
    <w:basedOn w:val="TableNormal"/>
    <w:uiPriority w:val="39"/>
    <w:rsid w:val="0067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aftabsavar</dc:creator>
  <cp:keywords/>
  <dc:description/>
  <cp:lastModifiedBy>m aftabsavar</cp:lastModifiedBy>
  <cp:revision>4</cp:revision>
  <dcterms:created xsi:type="dcterms:W3CDTF">2024-06-30T04:34:00Z</dcterms:created>
  <dcterms:modified xsi:type="dcterms:W3CDTF">2024-07-01T06:03:00Z</dcterms:modified>
</cp:coreProperties>
</file>